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F8" w:rsidRDefault="00B529AF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5" type="#_x0000_t202" style="position:absolute;left:0;text-align:left;margin-left:328.05pt;margin-top:6.35pt;width:153pt;height:36pt;z-index:251658240">
            <v:textbox style="mso-next-textbox:#_x0000_s1155">
              <w:txbxContent>
                <w:p w:rsidR="006B71F8" w:rsidRDefault="006B71F8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The online version of this procedure is official.  Therefore, all printed versions of this document are unofficial copies.</w:t>
                  </w:r>
                </w:p>
              </w:txbxContent>
            </v:textbox>
          </v:shape>
        </w:pict>
      </w:r>
      <w:r w:rsidR="006B71F8">
        <w:rPr>
          <w:rFonts w:ascii="Arial" w:hAnsi="Arial"/>
          <w:b/>
        </w:rPr>
        <w:t xml:space="preserve">SCOPE:  </w:t>
      </w:r>
    </w:p>
    <w:p w:rsidR="006B71F8" w:rsidRDefault="00775C62" w:rsidP="00775C62">
      <w:pPr>
        <w:numPr>
          <w:ilvl w:val="1"/>
          <w:numId w:val="1"/>
        </w:numPr>
        <w:spacing w:after="200"/>
        <w:ind w:right="2520"/>
        <w:rPr>
          <w:rFonts w:ascii="Arial" w:hAnsi="Arial"/>
        </w:rPr>
      </w:pPr>
      <w:r>
        <w:rPr>
          <w:rFonts w:ascii="Arial" w:hAnsi="Arial"/>
        </w:rPr>
        <w:t xml:space="preserve">This procedure </w:t>
      </w:r>
      <w:r w:rsidR="00CB7E82">
        <w:rPr>
          <w:rFonts w:ascii="Arial" w:hAnsi="Arial"/>
        </w:rPr>
        <w:t xml:space="preserve">communicates the necessary steps </w:t>
      </w:r>
      <w:r>
        <w:rPr>
          <w:rFonts w:ascii="Arial" w:hAnsi="Arial"/>
        </w:rPr>
        <w:t>used to</w:t>
      </w:r>
      <w:r w:rsidR="00CB7E82">
        <w:rPr>
          <w:rFonts w:ascii="Arial" w:hAnsi="Arial"/>
        </w:rPr>
        <w:t xml:space="preserve"> </w:t>
      </w:r>
      <w:r w:rsidR="004B49BD">
        <w:rPr>
          <w:rFonts w:ascii="Arial" w:hAnsi="Arial"/>
        </w:rPr>
        <w:t xml:space="preserve">monitor the annual budget </w:t>
      </w:r>
      <w:r w:rsidR="00CB7E82">
        <w:rPr>
          <w:rFonts w:ascii="Arial" w:hAnsi="Arial"/>
        </w:rPr>
        <w:t>f</w:t>
      </w:r>
      <w:r>
        <w:rPr>
          <w:rFonts w:ascii="Arial" w:hAnsi="Arial"/>
        </w:rPr>
        <w:t xml:space="preserve">or </w:t>
      </w:r>
      <w:r w:rsidR="00C00F6D">
        <w:rPr>
          <w:rFonts w:ascii="Arial" w:hAnsi="Arial"/>
        </w:rPr>
        <w:t>Saint Louis Public Schools</w:t>
      </w:r>
      <w:r>
        <w:rPr>
          <w:rFonts w:ascii="Arial" w:hAnsi="Arial"/>
        </w:rPr>
        <w:t>.</w:t>
      </w:r>
    </w:p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RESPONSIBILITY:  </w:t>
      </w:r>
    </w:p>
    <w:p w:rsidR="006B71F8" w:rsidRDefault="00CB7E82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Budget Analyst</w:t>
      </w:r>
    </w:p>
    <w:p w:rsidR="006B71F8" w:rsidRDefault="00B529AF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shape id="_x0000_s1154" type="#_x0000_t202" style="position:absolute;left:0;text-align:left;margin-left:220.05pt;margin-top:.45pt;width:261pt;height:27pt;z-index:251657216" stroked="f">
            <v:textbox style="mso-next-textbox:#_x0000_s1154">
              <w:txbxContent>
                <w:p w:rsidR="006B71F8" w:rsidRDefault="006B71F8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______________________________________     _____________________</w:t>
                  </w:r>
                </w:p>
                <w:p w:rsidR="006B71F8" w:rsidRDefault="006B71F8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Signature                                                          Date</w:t>
                  </w:r>
                </w:p>
              </w:txbxContent>
            </v:textbox>
          </v:shape>
        </w:pict>
      </w:r>
      <w:r w:rsidR="006B71F8">
        <w:rPr>
          <w:rFonts w:ascii="Arial" w:hAnsi="Arial"/>
          <w:b/>
        </w:rPr>
        <w:t>APPROVAL AUTHORITY:</w:t>
      </w:r>
    </w:p>
    <w:p w:rsidR="006B71F8" w:rsidRDefault="00CB7E82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Executive Budget Director</w:t>
      </w:r>
    </w:p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DEFINITIONS:</w:t>
      </w:r>
    </w:p>
    <w:p w:rsidR="006B71F8" w:rsidRDefault="00CB7E82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SLPS – St. Louis Public Schools</w:t>
      </w:r>
    </w:p>
    <w:p w:rsidR="00CB7E82" w:rsidRDefault="00CB7E82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 xml:space="preserve">SAP </w:t>
      </w:r>
      <w:r w:rsidR="00923B7C">
        <w:rPr>
          <w:rFonts w:ascii="Arial" w:hAnsi="Arial"/>
        </w:rPr>
        <w:t xml:space="preserve">– </w:t>
      </w:r>
      <w:r>
        <w:rPr>
          <w:rFonts w:ascii="Arial" w:hAnsi="Arial"/>
        </w:rPr>
        <w:t>Information</w:t>
      </w:r>
      <w:r w:rsidR="00923B7C">
        <w:rPr>
          <w:rFonts w:ascii="Arial" w:hAnsi="Arial"/>
        </w:rPr>
        <w:t xml:space="preserve"> </w:t>
      </w:r>
      <w:r>
        <w:rPr>
          <w:rFonts w:ascii="Arial" w:hAnsi="Arial"/>
        </w:rPr>
        <w:t>system used by SLPS</w:t>
      </w:r>
    </w:p>
    <w:p w:rsidR="00CB7E82" w:rsidRDefault="00CB7E82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 xml:space="preserve">FMEQ </w:t>
      </w:r>
      <w:r w:rsidR="00D5073E">
        <w:rPr>
          <w:rFonts w:ascii="Arial" w:hAnsi="Arial"/>
        </w:rPr>
        <w:t>–</w:t>
      </w:r>
      <w:r>
        <w:rPr>
          <w:rFonts w:ascii="Arial" w:hAnsi="Arial"/>
        </w:rPr>
        <w:t xml:space="preserve"> </w:t>
      </w:r>
      <w:r w:rsidR="00D5073E">
        <w:rPr>
          <w:rFonts w:ascii="Arial" w:hAnsi="Arial"/>
        </w:rPr>
        <w:t>Budget Status Report in SAP</w:t>
      </w:r>
    </w:p>
    <w:p w:rsidR="00D5073E" w:rsidRDefault="00D5073E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ZCOFA – Conditions of Appropriations Report in SAP</w:t>
      </w:r>
    </w:p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PROCEDURE:</w:t>
      </w:r>
    </w:p>
    <w:p w:rsidR="006B71F8" w:rsidRDefault="00D5073E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Sign on to SAP</w:t>
      </w:r>
    </w:p>
    <w:p w:rsidR="00D5073E" w:rsidRDefault="00D5073E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Go to (A) FMEQ or (B) ZCOFA</w:t>
      </w:r>
    </w:p>
    <w:p w:rsidR="00D5073E" w:rsidRDefault="002F635E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 xml:space="preserve">A.  Enter the fund number, funds center, and commitment item. Change or verify fiscal year. </w:t>
      </w:r>
      <w:r w:rsidRPr="002F778C">
        <w:rPr>
          <w:rFonts w:ascii="Arial" w:hAnsi="Arial"/>
          <w:b/>
          <w:u w:val="single"/>
        </w:rPr>
        <w:t>Run report</w:t>
      </w:r>
      <w:r w:rsidRPr="002F778C">
        <w:rPr>
          <w:rFonts w:ascii="Arial" w:hAnsi="Arial"/>
          <w:u w:val="single"/>
        </w:rPr>
        <w:t>.</w:t>
      </w:r>
    </w:p>
    <w:p w:rsidR="002F635E" w:rsidRDefault="002F635E" w:rsidP="002F778C">
      <w:pPr>
        <w:spacing w:after="200"/>
        <w:ind w:left="792"/>
        <w:rPr>
          <w:rFonts w:ascii="Arial" w:hAnsi="Arial"/>
          <w:b/>
          <w:u w:val="single"/>
        </w:rPr>
      </w:pPr>
      <w:r>
        <w:rPr>
          <w:rFonts w:ascii="Arial" w:hAnsi="Arial"/>
        </w:rPr>
        <w:t xml:space="preserve">B.  Change or verify fiscal year. Enter the business location, </w:t>
      </w:r>
      <w:r w:rsidR="002F778C">
        <w:rPr>
          <w:rFonts w:ascii="Arial" w:hAnsi="Arial"/>
        </w:rPr>
        <w:t xml:space="preserve">fund number, commitment code, and project.  </w:t>
      </w:r>
      <w:r w:rsidR="002F778C" w:rsidRPr="002F778C">
        <w:rPr>
          <w:rFonts w:ascii="Arial" w:hAnsi="Arial"/>
          <w:b/>
          <w:u w:val="single"/>
        </w:rPr>
        <w:t>Run report.</w:t>
      </w:r>
    </w:p>
    <w:p w:rsidR="00BE7404" w:rsidRDefault="002F778C" w:rsidP="00923B7C">
      <w:pPr>
        <w:spacing w:after="200"/>
        <w:ind w:left="810" w:hanging="450"/>
        <w:rPr>
          <w:rFonts w:ascii="Arial" w:hAnsi="Arial"/>
        </w:rPr>
      </w:pPr>
      <w:r>
        <w:rPr>
          <w:rFonts w:ascii="Arial" w:hAnsi="Arial"/>
        </w:rPr>
        <w:t xml:space="preserve">5.4  </w:t>
      </w:r>
      <w:r w:rsidR="00131CB6">
        <w:rPr>
          <w:rFonts w:ascii="Arial" w:hAnsi="Arial"/>
        </w:rPr>
        <w:t xml:space="preserve"> </w:t>
      </w:r>
      <w:r>
        <w:rPr>
          <w:rFonts w:ascii="Arial" w:hAnsi="Arial"/>
        </w:rPr>
        <w:t xml:space="preserve">Drilldown or navigate to the desired </w:t>
      </w:r>
      <w:r w:rsidR="00BE7404">
        <w:rPr>
          <w:rFonts w:ascii="Arial" w:hAnsi="Arial"/>
        </w:rPr>
        <w:t>fund-function</w:t>
      </w:r>
      <w:r w:rsidR="00923B7C">
        <w:rPr>
          <w:rFonts w:ascii="Arial" w:hAnsi="Arial"/>
        </w:rPr>
        <w:t>, funds center, or commitment item</w:t>
      </w:r>
      <w:r w:rsidR="00BE7404">
        <w:rPr>
          <w:rFonts w:ascii="Arial" w:hAnsi="Arial"/>
        </w:rPr>
        <w:t xml:space="preserve">.   </w:t>
      </w:r>
    </w:p>
    <w:p w:rsidR="00BE7404" w:rsidRDefault="00BE7404" w:rsidP="00BE7404">
      <w:pPr>
        <w:spacing w:after="200"/>
        <w:ind w:left="360"/>
        <w:rPr>
          <w:rFonts w:ascii="Arial" w:hAnsi="Arial"/>
        </w:rPr>
      </w:pPr>
      <w:r>
        <w:rPr>
          <w:rFonts w:ascii="Arial" w:hAnsi="Arial"/>
        </w:rPr>
        <w:lastRenderedPageBreak/>
        <w:t xml:space="preserve">5.5  </w:t>
      </w:r>
      <w:r w:rsidR="00131CB6">
        <w:rPr>
          <w:rFonts w:ascii="Arial" w:hAnsi="Arial"/>
        </w:rPr>
        <w:t xml:space="preserve"> </w:t>
      </w:r>
      <w:r>
        <w:rPr>
          <w:rFonts w:ascii="Arial" w:hAnsi="Arial"/>
        </w:rPr>
        <w:t xml:space="preserve">Export data from </w:t>
      </w:r>
      <w:r w:rsidR="009A6014">
        <w:rPr>
          <w:rFonts w:ascii="Arial" w:hAnsi="Arial"/>
        </w:rPr>
        <w:t xml:space="preserve">SAP </w:t>
      </w:r>
      <w:r>
        <w:rPr>
          <w:rFonts w:ascii="Arial" w:hAnsi="Arial"/>
        </w:rPr>
        <w:t>reports.</w:t>
      </w:r>
    </w:p>
    <w:p w:rsidR="009A6014" w:rsidRDefault="00BE7404" w:rsidP="00BE7404">
      <w:pPr>
        <w:spacing w:after="200"/>
        <w:ind w:left="360"/>
        <w:rPr>
          <w:rFonts w:ascii="Arial" w:hAnsi="Arial"/>
        </w:rPr>
      </w:pPr>
      <w:r>
        <w:rPr>
          <w:rFonts w:ascii="Arial" w:hAnsi="Arial"/>
        </w:rPr>
        <w:t xml:space="preserve">5.6   </w:t>
      </w:r>
      <w:r w:rsidR="009A6014">
        <w:rPr>
          <w:rFonts w:ascii="Arial" w:hAnsi="Arial"/>
        </w:rPr>
        <w:t>Set up an analysis report using Microsoft Excel, Word, or Access.</w:t>
      </w:r>
    </w:p>
    <w:p w:rsidR="00A62CAC" w:rsidRDefault="009A6014" w:rsidP="00BE7404">
      <w:pPr>
        <w:spacing w:after="200"/>
        <w:ind w:left="360"/>
        <w:rPr>
          <w:rFonts w:ascii="Arial" w:hAnsi="Arial"/>
        </w:rPr>
      </w:pPr>
      <w:r>
        <w:rPr>
          <w:rFonts w:ascii="Arial" w:hAnsi="Arial"/>
        </w:rPr>
        <w:t xml:space="preserve">5.7  </w:t>
      </w:r>
      <w:r w:rsidR="00131CB6">
        <w:rPr>
          <w:rFonts w:ascii="Arial" w:hAnsi="Arial"/>
        </w:rPr>
        <w:t xml:space="preserve"> </w:t>
      </w:r>
      <w:r w:rsidR="00A62CAC">
        <w:rPr>
          <w:rFonts w:ascii="Arial" w:hAnsi="Arial"/>
        </w:rPr>
        <w:t xml:space="preserve">Compare </w:t>
      </w:r>
      <w:r w:rsidR="00060EAD">
        <w:rPr>
          <w:rFonts w:ascii="Arial" w:hAnsi="Arial"/>
        </w:rPr>
        <w:t xml:space="preserve">actual expenditures or revenues to the </w:t>
      </w:r>
      <w:r w:rsidR="00A62CAC">
        <w:rPr>
          <w:rFonts w:ascii="Arial" w:hAnsi="Arial"/>
        </w:rPr>
        <w:t>current budget or original budget.</w:t>
      </w:r>
    </w:p>
    <w:p w:rsidR="00131CB6" w:rsidRDefault="00A62CAC" w:rsidP="00923B7C">
      <w:pPr>
        <w:spacing w:after="200"/>
        <w:ind w:left="810" w:hanging="450"/>
        <w:rPr>
          <w:rFonts w:ascii="Arial" w:hAnsi="Arial"/>
        </w:rPr>
      </w:pPr>
      <w:r>
        <w:rPr>
          <w:rFonts w:ascii="Arial" w:hAnsi="Arial"/>
        </w:rPr>
        <w:t xml:space="preserve">5.8  </w:t>
      </w:r>
      <w:r w:rsidR="00131CB6">
        <w:rPr>
          <w:rFonts w:ascii="Arial" w:hAnsi="Arial"/>
        </w:rPr>
        <w:t xml:space="preserve"> </w:t>
      </w:r>
      <w:r>
        <w:rPr>
          <w:rFonts w:ascii="Arial" w:hAnsi="Arial"/>
        </w:rPr>
        <w:t>Observe major variances, insert comments, date report</w:t>
      </w:r>
      <w:r w:rsidR="00131CB6">
        <w:rPr>
          <w:rFonts w:ascii="Arial" w:hAnsi="Arial"/>
        </w:rPr>
        <w:t>, and inquire about questionable items.</w:t>
      </w:r>
    </w:p>
    <w:p w:rsidR="00131CB6" w:rsidRDefault="00131CB6" w:rsidP="00BE7404">
      <w:pPr>
        <w:spacing w:after="200"/>
        <w:ind w:left="360"/>
        <w:rPr>
          <w:rFonts w:ascii="Arial" w:hAnsi="Arial"/>
        </w:rPr>
      </w:pPr>
      <w:r>
        <w:rPr>
          <w:rFonts w:ascii="Arial" w:hAnsi="Arial"/>
        </w:rPr>
        <w:t xml:space="preserve">5.9   Save and print </w:t>
      </w:r>
      <w:r w:rsidR="00060EAD">
        <w:rPr>
          <w:rFonts w:ascii="Arial" w:hAnsi="Arial"/>
        </w:rPr>
        <w:t>annual budge</w:t>
      </w:r>
      <w:r w:rsidR="00923B7C">
        <w:rPr>
          <w:rFonts w:ascii="Arial" w:hAnsi="Arial"/>
        </w:rPr>
        <w:t>t</w:t>
      </w:r>
      <w:r w:rsidR="00060EAD">
        <w:rPr>
          <w:rFonts w:ascii="Arial" w:hAnsi="Arial"/>
        </w:rPr>
        <w:t xml:space="preserve"> comparison </w:t>
      </w:r>
      <w:r>
        <w:rPr>
          <w:rFonts w:ascii="Arial" w:hAnsi="Arial"/>
        </w:rPr>
        <w:t>analysis.</w:t>
      </w:r>
    </w:p>
    <w:p w:rsidR="00131CB6" w:rsidRDefault="00131CB6" w:rsidP="00BE7404">
      <w:pPr>
        <w:spacing w:after="200"/>
        <w:ind w:left="360"/>
        <w:rPr>
          <w:rFonts w:ascii="Arial" w:hAnsi="Arial"/>
        </w:rPr>
      </w:pPr>
      <w:proofErr w:type="gramStart"/>
      <w:r>
        <w:rPr>
          <w:rFonts w:ascii="Arial" w:hAnsi="Arial"/>
        </w:rPr>
        <w:t>5.10  Forward</w:t>
      </w:r>
      <w:proofErr w:type="gramEnd"/>
      <w:r>
        <w:rPr>
          <w:rFonts w:ascii="Arial" w:hAnsi="Arial"/>
        </w:rPr>
        <w:t xml:space="preserve"> </w:t>
      </w:r>
      <w:r w:rsidR="0024458A">
        <w:rPr>
          <w:rFonts w:ascii="Arial" w:hAnsi="Arial"/>
        </w:rPr>
        <w:t xml:space="preserve">analysis </w:t>
      </w:r>
      <w:r>
        <w:rPr>
          <w:rFonts w:ascii="Arial" w:hAnsi="Arial"/>
        </w:rPr>
        <w:t xml:space="preserve">to </w:t>
      </w:r>
      <w:r w:rsidR="00060EAD">
        <w:rPr>
          <w:rFonts w:ascii="Arial" w:hAnsi="Arial"/>
        </w:rPr>
        <w:t xml:space="preserve">department heads, cabinet </w:t>
      </w:r>
      <w:r w:rsidR="00923B7C">
        <w:rPr>
          <w:rFonts w:ascii="Arial" w:hAnsi="Arial"/>
        </w:rPr>
        <w:t>members</w:t>
      </w:r>
      <w:r w:rsidR="00060EAD">
        <w:rPr>
          <w:rFonts w:ascii="Arial" w:hAnsi="Arial"/>
        </w:rPr>
        <w:t xml:space="preserve">, and </w:t>
      </w:r>
      <w:r w:rsidR="00923B7C">
        <w:rPr>
          <w:rFonts w:ascii="Arial" w:hAnsi="Arial"/>
        </w:rPr>
        <w:t>S</w:t>
      </w:r>
      <w:r w:rsidR="00060EAD">
        <w:rPr>
          <w:rFonts w:ascii="Arial" w:hAnsi="Arial"/>
        </w:rPr>
        <w:t>uperintendent</w:t>
      </w:r>
      <w:r>
        <w:rPr>
          <w:rFonts w:ascii="Arial" w:hAnsi="Arial"/>
        </w:rPr>
        <w:t>.</w:t>
      </w:r>
    </w:p>
    <w:p w:rsidR="002F778C" w:rsidRDefault="00131CB6" w:rsidP="00BE7404">
      <w:pPr>
        <w:spacing w:after="200"/>
        <w:ind w:left="360"/>
        <w:rPr>
          <w:rFonts w:ascii="Arial" w:hAnsi="Arial"/>
        </w:rPr>
      </w:pPr>
      <w:proofErr w:type="gramStart"/>
      <w:r>
        <w:rPr>
          <w:rFonts w:ascii="Arial" w:hAnsi="Arial"/>
        </w:rPr>
        <w:t>5.11  File</w:t>
      </w:r>
      <w:proofErr w:type="gramEnd"/>
      <w:r>
        <w:rPr>
          <w:rFonts w:ascii="Arial" w:hAnsi="Arial"/>
        </w:rPr>
        <w:t xml:space="preserve"> hard copies and save on computer.</w:t>
      </w:r>
      <w:r w:rsidR="00A62CAC">
        <w:rPr>
          <w:rFonts w:ascii="Arial" w:hAnsi="Arial"/>
        </w:rPr>
        <w:t xml:space="preserve"> </w:t>
      </w:r>
      <w:r w:rsidR="00BE7404">
        <w:rPr>
          <w:rFonts w:ascii="Arial" w:hAnsi="Arial"/>
        </w:rPr>
        <w:tab/>
      </w:r>
      <w:r w:rsidR="00BE7404">
        <w:rPr>
          <w:rFonts w:ascii="Arial" w:hAnsi="Arial"/>
        </w:rPr>
        <w:tab/>
      </w:r>
      <w:r w:rsidR="002F778C">
        <w:rPr>
          <w:rFonts w:ascii="Arial" w:hAnsi="Arial"/>
        </w:rPr>
        <w:tab/>
      </w:r>
    </w:p>
    <w:p w:rsidR="00BE7404" w:rsidRDefault="00BE7404" w:rsidP="00BE7404">
      <w:pPr>
        <w:spacing w:after="200"/>
        <w:ind w:left="360"/>
        <w:rPr>
          <w:rFonts w:ascii="Arial" w:hAnsi="Arial"/>
          <w:b/>
          <w:u w:val="single"/>
        </w:rPr>
      </w:pPr>
    </w:p>
    <w:p w:rsidR="002F778C" w:rsidRDefault="002F778C" w:rsidP="002F778C">
      <w:pPr>
        <w:spacing w:after="200"/>
        <w:ind w:left="1152"/>
        <w:rPr>
          <w:rFonts w:ascii="Arial" w:hAnsi="Arial"/>
        </w:rPr>
      </w:pPr>
    </w:p>
    <w:p w:rsidR="002F778C" w:rsidRPr="002F778C" w:rsidRDefault="002F778C" w:rsidP="002F778C">
      <w:pPr>
        <w:spacing w:after="200"/>
        <w:ind w:left="792"/>
        <w:rPr>
          <w:rFonts w:ascii="Arial" w:hAnsi="Arial"/>
          <w:b/>
          <w:u w:val="single"/>
        </w:rPr>
      </w:pPr>
    </w:p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ASSOCIATED DOCUMENTS:</w:t>
      </w:r>
    </w:p>
    <w:p w:rsidR="006B71F8" w:rsidRDefault="00060EAD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Budget / Financial Analysis</w:t>
      </w:r>
    </w:p>
    <w:p w:rsidR="0064551A" w:rsidRDefault="0064551A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Government Reports</w:t>
      </w:r>
    </w:p>
    <w:p w:rsidR="0064551A" w:rsidRDefault="0064551A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DESE Reports</w:t>
      </w:r>
    </w:p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RECORD RETENTION TABLE:</w:t>
      </w:r>
    </w:p>
    <w:tbl>
      <w:tblPr>
        <w:tblW w:w="0" w:type="auto"/>
        <w:tblLayout w:type="fixed"/>
        <w:tblLook w:val="0000"/>
      </w:tblPr>
      <w:tblGrid>
        <w:gridCol w:w="1767"/>
        <w:gridCol w:w="1768"/>
        <w:gridCol w:w="1767"/>
        <w:gridCol w:w="1768"/>
        <w:gridCol w:w="1768"/>
      </w:tblGrid>
      <w:tr w:rsidR="006B71F8">
        <w:tc>
          <w:tcPr>
            <w:tcW w:w="1767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Identification</w:t>
            </w:r>
          </w:p>
        </w:tc>
        <w:tc>
          <w:tcPr>
            <w:tcW w:w="1768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Storage</w:t>
            </w:r>
          </w:p>
        </w:tc>
        <w:tc>
          <w:tcPr>
            <w:tcW w:w="1767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Retention</w:t>
            </w:r>
          </w:p>
        </w:tc>
        <w:tc>
          <w:tcPr>
            <w:tcW w:w="1768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Disposition</w:t>
            </w:r>
          </w:p>
        </w:tc>
        <w:tc>
          <w:tcPr>
            <w:tcW w:w="1768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Protection</w:t>
            </w:r>
          </w:p>
        </w:tc>
      </w:tr>
      <w:tr w:rsidR="006B71F8">
        <w:tc>
          <w:tcPr>
            <w:tcW w:w="1767" w:type="dxa"/>
          </w:tcPr>
          <w:p w:rsidR="006B71F8" w:rsidRDefault="00060EAD" w:rsidP="00060EAD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Annual Budget</w:t>
            </w:r>
          </w:p>
        </w:tc>
        <w:tc>
          <w:tcPr>
            <w:tcW w:w="1768" w:type="dxa"/>
          </w:tcPr>
          <w:p w:rsidR="006B71F8" w:rsidRDefault="0064551A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File </w:t>
            </w:r>
            <w:r>
              <w:rPr>
                <w:rFonts w:ascii="Arial" w:hAnsi="Arial"/>
              </w:rPr>
              <w:lastRenderedPageBreak/>
              <w:t>Cabinet /</w:t>
            </w:r>
          </w:p>
          <w:p w:rsidR="0064551A" w:rsidRDefault="0064551A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Hard Drive</w:t>
            </w:r>
          </w:p>
        </w:tc>
        <w:tc>
          <w:tcPr>
            <w:tcW w:w="1767" w:type="dxa"/>
          </w:tcPr>
          <w:p w:rsidR="006B71F8" w:rsidRDefault="0064551A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Various</w:t>
            </w:r>
          </w:p>
        </w:tc>
        <w:tc>
          <w:tcPr>
            <w:tcW w:w="1768" w:type="dxa"/>
          </w:tcPr>
          <w:p w:rsidR="006B71F8" w:rsidRDefault="0064551A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Discard as</w:t>
            </w:r>
          </w:p>
          <w:p w:rsidR="0064551A" w:rsidRDefault="0064551A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desired</w:t>
            </w:r>
          </w:p>
        </w:tc>
        <w:tc>
          <w:tcPr>
            <w:tcW w:w="1768" w:type="dxa"/>
          </w:tcPr>
          <w:p w:rsidR="006B71F8" w:rsidRDefault="0064551A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Secured </w:t>
            </w:r>
            <w:r>
              <w:rPr>
                <w:rFonts w:ascii="Arial" w:hAnsi="Arial"/>
              </w:rPr>
              <w:lastRenderedPageBreak/>
              <w:t>Building /Password Protected</w:t>
            </w:r>
          </w:p>
        </w:tc>
      </w:tr>
      <w:tr w:rsidR="006B71F8">
        <w:tc>
          <w:tcPr>
            <w:tcW w:w="1767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1768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1767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1768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1768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</w:tr>
    </w:tbl>
    <w:p w:rsidR="006B71F8" w:rsidRDefault="006B71F8">
      <w:pPr>
        <w:spacing w:after="200"/>
        <w:jc w:val="both"/>
        <w:rPr>
          <w:rFonts w:ascii="Arial" w:hAnsi="Arial"/>
          <w:b/>
        </w:rPr>
      </w:pPr>
    </w:p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REVISION HISTORY:</w:t>
      </w:r>
    </w:p>
    <w:tbl>
      <w:tblPr>
        <w:tblW w:w="0" w:type="auto"/>
        <w:tblLayout w:type="fixed"/>
        <w:tblLook w:val="0000"/>
      </w:tblPr>
      <w:tblGrid>
        <w:gridCol w:w="1278"/>
        <w:gridCol w:w="810"/>
        <w:gridCol w:w="6750"/>
      </w:tblGrid>
      <w:tr w:rsidR="006B71F8">
        <w:tc>
          <w:tcPr>
            <w:tcW w:w="1278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Date:</w:t>
            </w:r>
          </w:p>
        </w:tc>
        <w:tc>
          <w:tcPr>
            <w:tcW w:w="810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Rev.</w:t>
            </w:r>
          </w:p>
        </w:tc>
        <w:tc>
          <w:tcPr>
            <w:tcW w:w="6750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Description of Revision:</w:t>
            </w:r>
          </w:p>
        </w:tc>
      </w:tr>
      <w:tr w:rsidR="006B71F8">
        <w:tc>
          <w:tcPr>
            <w:tcW w:w="1278" w:type="dxa"/>
          </w:tcPr>
          <w:p w:rsidR="006B71F8" w:rsidRDefault="00005EDB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05/07/09</w:t>
            </w:r>
          </w:p>
        </w:tc>
        <w:tc>
          <w:tcPr>
            <w:tcW w:w="810" w:type="dxa"/>
          </w:tcPr>
          <w:p w:rsidR="006B71F8" w:rsidRDefault="0064551A">
            <w:pPr>
              <w:spacing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6750" w:type="dxa"/>
          </w:tcPr>
          <w:p w:rsidR="006B71F8" w:rsidRDefault="0064551A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Initial Release</w:t>
            </w:r>
          </w:p>
        </w:tc>
      </w:tr>
      <w:tr w:rsidR="006B71F8">
        <w:tc>
          <w:tcPr>
            <w:tcW w:w="1278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810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6750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</w:tr>
      <w:tr w:rsidR="006B71F8">
        <w:tc>
          <w:tcPr>
            <w:tcW w:w="1278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810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6750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</w:tr>
    </w:tbl>
    <w:p w:rsidR="006B71F8" w:rsidRDefault="006B71F8">
      <w:pPr>
        <w:spacing w:after="200"/>
        <w:jc w:val="both"/>
        <w:rPr>
          <w:rFonts w:ascii="Arial" w:hAnsi="Arial"/>
          <w:b/>
        </w:rPr>
      </w:pPr>
    </w:p>
    <w:p w:rsidR="006B71F8" w:rsidRDefault="006B71F8">
      <w:pPr>
        <w:spacing w:before="80" w:after="80"/>
        <w:jc w:val="center"/>
        <w:rPr>
          <w:rFonts w:ascii="Arial" w:hAnsi="Arial"/>
          <w:b/>
          <w:spacing w:val="80"/>
        </w:rPr>
      </w:pPr>
    </w:p>
    <w:p w:rsidR="006B71F8" w:rsidRDefault="006B71F8">
      <w:pPr>
        <w:spacing w:before="80" w:after="80"/>
        <w:jc w:val="center"/>
        <w:rPr>
          <w:rFonts w:ascii="Arial" w:hAnsi="Arial"/>
          <w:b/>
          <w:spacing w:val="80"/>
        </w:rPr>
      </w:pPr>
    </w:p>
    <w:p w:rsidR="006B71F8" w:rsidRDefault="006B71F8">
      <w:pPr>
        <w:spacing w:before="80" w:after="80"/>
        <w:jc w:val="center"/>
        <w:rPr>
          <w:rFonts w:ascii="Arial" w:hAnsi="Arial"/>
          <w:b/>
          <w:spacing w:val="80"/>
        </w:rPr>
      </w:pPr>
      <w:r>
        <w:rPr>
          <w:rFonts w:ascii="Arial" w:hAnsi="Arial"/>
          <w:b/>
          <w:spacing w:val="80"/>
        </w:rPr>
        <w:t xml:space="preserve">***End of procedure***   </w:t>
      </w:r>
    </w:p>
    <w:p w:rsidR="006B71F8" w:rsidRDefault="006B71F8">
      <w:pPr>
        <w:spacing w:before="80" w:after="80"/>
        <w:jc w:val="center"/>
        <w:rPr>
          <w:rFonts w:ascii="Arial" w:hAnsi="Arial"/>
          <w:b/>
          <w:spacing w:val="80"/>
        </w:rPr>
      </w:pPr>
    </w:p>
    <w:sectPr w:rsidR="006B71F8" w:rsidSect="00146473">
      <w:headerReference w:type="default" r:id="rId8"/>
      <w:footerReference w:type="default" r:id="rId9"/>
      <w:pgSz w:w="12240" w:h="15840"/>
      <w:pgMar w:top="1440" w:right="1800" w:bottom="1440" w:left="1800" w:header="720" w:footer="9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161" w:rsidRDefault="00806161">
      <w:r>
        <w:separator/>
      </w:r>
    </w:p>
  </w:endnote>
  <w:endnote w:type="continuationSeparator" w:id="1">
    <w:p w:rsidR="00806161" w:rsidRDefault="00806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1F8" w:rsidRDefault="006B71F8">
    <w:pPr>
      <w:pStyle w:val="Footer"/>
      <w:pBdr>
        <w:top w:val="single" w:sz="8" w:space="1" w:color="auto"/>
      </w:pBdr>
      <w:rPr>
        <w:rFonts w:ascii="Arial" w:hAnsi="Arial"/>
        <w:sz w:val="8"/>
      </w:rPr>
    </w:pPr>
    <w:r>
      <w:rPr>
        <w:rFonts w:ascii="Arial" w:hAnsi="Arial"/>
        <w:sz w:val="8"/>
      </w:rPr>
      <w:t xml:space="preserve">   </w:t>
    </w:r>
  </w:p>
  <w:p w:rsidR="006B71F8" w:rsidRDefault="006B71F8">
    <w:pPr>
      <w:pStyle w:val="Title"/>
      <w:tabs>
        <w:tab w:val="left" w:pos="0"/>
        <w:tab w:val="center" w:pos="4320"/>
        <w:tab w:val="right" w:pos="8640"/>
      </w:tabs>
      <w:jc w:val="left"/>
      <w:rPr>
        <w:sz w:val="20"/>
      </w:rPr>
    </w:pPr>
    <w:r>
      <w:rPr>
        <w:sz w:val="20"/>
      </w:rPr>
      <w:t xml:space="preserve">Date:  </w:t>
    </w:r>
    <w:r w:rsidR="008D2960">
      <w:rPr>
        <w:sz w:val="20"/>
      </w:rPr>
      <w:t>11/08/07</w:t>
    </w:r>
    <w:r>
      <w:rPr>
        <w:sz w:val="20"/>
      </w:rPr>
      <w:t>; Rev. A</w:t>
    </w:r>
    <w:r>
      <w:rPr>
        <w:sz w:val="20"/>
      </w:rPr>
      <w:tab/>
    </w:r>
    <w:r w:rsidR="00A96C55">
      <w:rPr>
        <w:sz w:val="20"/>
      </w:rPr>
      <w:t>BUD</w:t>
    </w:r>
    <w:r>
      <w:rPr>
        <w:sz w:val="20"/>
      </w:rPr>
      <w:t>-</w:t>
    </w:r>
    <w:r w:rsidR="00C42D70">
      <w:rPr>
        <w:sz w:val="20"/>
      </w:rPr>
      <w:t>P002</w:t>
    </w:r>
    <w:r>
      <w:rPr>
        <w:sz w:val="20"/>
      </w:rPr>
      <w:tab/>
      <w:t xml:space="preserve">Page </w:t>
    </w:r>
    <w:r w:rsidR="00B529AF"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 w:rsidR="00B529AF">
      <w:rPr>
        <w:rStyle w:val="PageNumber"/>
        <w:sz w:val="20"/>
      </w:rPr>
      <w:fldChar w:fldCharType="separate"/>
    </w:r>
    <w:r w:rsidR="005D388D">
      <w:rPr>
        <w:rStyle w:val="PageNumber"/>
        <w:noProof/>
        <w:sz w:val="20"/>
      </w:rPr>
      <w:t>1</w:t>
    </w:r>
    <w:r w:rsidR="00B529AF">
      <w:rPr>
        <w:rStyle w:val="PageNumber"/>
        <w:sz w:val="20"/>
      </w:rPr>
      <w:fldChar w:fldCharType="end"/>
    </w:r>
    <w:r>
      <w:rPr>
        <w:sz w:val="20"/>
      </w:rPr>
      <w:t xml:space="preserve"> of </w:t>
    </w:r>
    <w:r w:rsidR="00B529AF"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 w:rsidR="00B529AF">
      <w:rPr>
        <w:rStyle w:val="PageNumber"/>
        <w:sz w:val="20"/>
      </w:rPr>
      <w:fldChar w:fldCharType="separate"/>
    </w:r>
    <w:r w:rsidR="005D388D">
      <w:rPr>
        <w:rStyle w:val="PageNumber"/>
        <w:noProof/>
        <w:sz w:val="20"/>
      </w:rPr>
      <w:t>2</w:t>
    </w:r>
    <w:r w:rsidR="00B529AF">
      <w:rPr>
        <w:rStyle w:val="PageNumber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161" w:rsidRDefault="00806161">
      <w:r>
        <w:separator/>
      </w:r>
    </w:p>
  </w:footnote>
  <w:footnote w:type="continuationSeparator" w:id="1">
    <w:p w:rsidR="00806161" w:rsidRDefault="008061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1F8" w:rsidRDefault="00B529AF">
    <w:pPr>
      <w:pStyle w:val="Header"/>
      <w:jc w:val="center"/>
      <w:rPr>
        <w:rFonts w:ascii="Arial Black" w:hAnsi="Arial Black"/>
        <w:sz w:val="24"/>
      </w:rPr>
    </w:pPr>
    <w:r w:rsidRPr="00B529AF">
      <w:rPr>
        <w:rFonts w:ascii="Arial Black" w:hAnsi="Arial Black"/>
        <w:sz w:val="24"/>
      </w:rPr>
      <w:pict>
        <v:rect id="_x0000_i1025" style="width:0;height:1.5pt" o:hralign="center" o:hrstd="t" o:hr="t" fillcolor="gray" stroked="f"/>
      </w:pict>
    </w:r>
  </w:p>
  <w:p w:rsidR="006B71F8" w:rsidRDefault="004B49BD">
    <w:pPr>
      <w:pStyle w:val="Header"/>
      <w:jc w:val="center"/>
      <w:rPr>
        <w:rFonts w:ascii="Arial Black" w:hAnsi="Arial Black"/>
        <w:sz w:val="24"/>
      </w:rPr>
    </w:pPr>
    <w:r>
      <w:rPr>
        <w:rFonts w:ascii="Arial Black" w:hAnsi="Arial Black"/>
        <w:sz w:val="24"/>
      </w:rPr>
      <w:t xml:space="preserve">MONITOR ANNUAL </w:t>
    </w:r>
    <w:r w:rsidR="00B93873">
      <w:rPr>
        <w:rFonts w:ascii="Arial Black" w:hAnsi="Arial Black"/>
        <w:sz w:val="24"/>
      </w:rPr>
      <w:t xml:space="preserve">BUDGET </w:t>
    </w:r>
    <w:r w:rsidR="006B71F8">
      <w:rPr>
        <w:rFonts w:ascii="Arial Black" w:hAnsi="Arial Black"/>
        <w:sz w:val="24"/>
      </w:rPr>
      <w:t>(</w:t>
    </w:r>
    <w:r w:rsidR="00B93873">
      <w:rPr>
        <w:rFonts w:ascii="Arial Black" w:hAnsi="Arial Black"/>
        <w:sz w:val="24"/>
      </w:rPr>
      <w:t>BUD</w:t>
    </w:r>
    <w:r w:rsidR="006B71F8">
      <w:rPr>
        <w:rFonts w:ascii="Arial Black" w:hAnsi="Arial Black"/>
        <w:sz w:val="24"/>
      </w:rPr>
      <w:t>-</w:t>
    </w:r>
    <w:r w:rsidR="00C42D70">
      <w:rPr>
        <w:rFonts w:ascii="Arial Black" w:hAnsi="Arial Black"/>
        <w:sz w:val="24"/>
      </w:rPr>
      <w:t>P002</w:t>
    </w:r>
    <w:r w:rsidR="006B71F8">
      <w:rPr>
        <w:rFonts w:ascii="Arial Black" w:hAnsi="Arial Black"/>
        <w:sz w:val="24"/>
      </w:rPr>
      <w:t>)</w:t>
    </w:r>
  </w:p>
  <w:p w:rsidR="006B71F8" w:rsidRDefault="006B71F8">
    <w:pPr>
      <w:pStyle w:val="Header"/>
      <w:jc w:val="center"/>
      <w:rPr>
        <w:rFonts w:ascii="Arial" w:hAnsi="Arial"/>
        <w:sz w:val="16"/>
      </w:rPr>
    </w:pPr>
    <w:r>
      <w:rPr>
        <w:rFonts w:ascii="Arial" w:hAnsi="Arial"/>
      </w:rPr>
      <w:t>SA</w:t>
    </w:r>
    <w:r w:rsidR="00C00F6D">
      <w:rPr>
        <w:rFonts w:ascii="Arial" w:hAnsi="Arial"/>
      </w:rPr>
      <w:t>INT LOUIS PUBLIC SCHOOLS</w:t>
    </w:r>
  </w:p>
  <w:p w:rsidR="006B71F8" w:rsidRDefault="00B529AF">
    <w:pPr>
      <w:pStyle w:val="Header"/>
      <w:jc w:val="center"/>
      <w:rPr>
        <w:rFonts w:ascii="Arial" w:hAnsi="Arial"/>
        <w:sz w:val="16"/>
      </w:rPr>
    </w:pPr>
    <w:r w:rsidRPr="00B529AF">
      <w:rPr>
        <w:rFonts w:ascii="Arial Black" w:hAnsi="Arial Black"/>
        <w:sz w:val="24"/>
      </w:rPr>
      <w:pict>
        <v:rect id="_x0000_i1026" style="width:0;height:1.5pt" o:hralign="center" o:hrstd="t" o:hr="t" fillcolor="gray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5ED3"/>
    <w:multiLevelType w:val="hybridMultilevel"/>
    <w:tmpl w:val="087A7D5C"/>
    <w:lvl w:ilvl="0" w:tplc="04090011">
      <w:start w:val="1"/>
      <w:numFmt w:val="decimal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>
    <w:nsid w:val="22DB55B1"/>
    <w:multiLevelType w:val="multilevel"/>
    <w:tmpl w:val="716A50C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68"/>
        </w:tabs>
        <w:ind w:left="1368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775C62"/>
    <w:rsid w:val="00005EDB"/>
    <w:rsid w:val="00060EAD"/>
    <w:rsid w:val="00131CB6"/>
    <w:rsid w:val="00146473"/>
    <w:rsid w:val="001C2F16"/>
    <w:rsid w:val="00213D4F"/>
    <w:rsid w:val="0024458A"/>
    <w:rsid w:val="00287531"/>
    <w:rsid w:val="002C2326"/>
    <w:rsid w:val="002D2538"/>
    <w:rsid w:val="002D7EF0"/>
    <w:rsid w:val="002F635E"/>
    <w:rsid w:val="002F778C"/>
    <w:rsid w:val="003624C6"/>
    <w:rsid w:val="003E538C"/>
    <w:rsid w:val="004B49BD"/>
    <w:rsid w:val="005C35A7"/>
    <w:rsid w:val="005D388D"/>
    <w:rsid w:val="005F1AC0"/>
    <w:rsid w:val="006410CF"/>
    <w:rsid w:val="0064551A"/>
    <w:rsid w:val="006B34A0"/>
    <w:rsid w:val="006B71F8"/>
    <w:rsid w:val="00775C62"/>
    <w:rsid w:val="007B69C9"/>
    <w:rsid w:val="00806161"/>
    <w:rsid w:val="00880BB3"/>
    <w:rsid w:val="008D2960"/>
    <w:rsid w:val="00902FDC"/>
    <w:rsid w:val="00923B7C"/>
    <w:rsid w:val="00985067"/>
    <w:rsid w:val="009A6014"/>
    <w:rsid w:val="00A62CAC"/>
    <w:rsid w:val="00A96C55"/>
    <w:rsid w:val="00AC54F6"/>
    <w:rsid w:val="00B23EE8"/>
    <w:rsid w:val="00B529AF"/>
    <w:rsid w:val="00B93873"/>
    <w:rsid w:val="00BD7151"/>
    <w:rsid w:val="00BE7404"/>
    <w:rsid w:val="00C00F6D"/>
    <w:rsid w:val="00C42D70"/>
    <w:rsid w:val="00C47511"/>
    <w:rsid w:val="00CB7E82"/>
    <w:rsid w:val="00D5073E"/>
    <w:rsid w:val="00D52028"/>
    <w:rsid w:val="00F35961"/>
    <w:rsid w:val="00F63029"/>
    <w:rsid w:val="00FA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64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6473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46473"/>
    <w:pPr>
      <w:jc w:val="center"/>
    </w:pPr>
    <w:rPr>
      <w:rFonts w:ascii="Arial" w:hAnsi="Arial"/>
      <w:sz w:val="52"/>
    </w:rPr>
  </w:style>
  <w:style w:type="character" w:styleId="PageNumber">
    <w:name w:val="page number"/>
    <w:basedOn w:val="DefaultParagraphFont"/>
    <w:rsid w:val="00146473"/>
  </w:style>
  <w:style w:type="paragraph" w:styleId="BalloonText">
    <w:name w:val="Balloon Text"/>
    <w:basedOn w:val="Normal"/>
    <w:link w:val="BalloonTextChar"/>
    <w:uiPriority w:val="99"/>
    <w:semiHidden/>
    <w:unhideWhenUsed/>
    <w:rsid w:val="002D25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267E-13BA-4FC3-898C-BCC81ECA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Performance Solutions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Performance Solutions</dc:creator>
  <cp:keywords/>
  <cp:lastModifiedBy>SLPS</cp:lastModifiedBy>
  <cp:revision>2</cp:revision>
  <cp:lastPrinted>2007-10-23T20:18:00Z</cp:lastPrinted>
  <dcterms:created xsi:type="dcterms:W3CDTF">2009-05-08T13:40:00Z</dcterms:created>
  <dcterms:modified xsi:type="dcterms:W3CDTF">2009-05-08T13:40:00Z</dcterms:modified>
</cp:coreProperties>
</file>